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047D75EB" w:rsidR="000B7EA4" w:rsidRPr="00EC64DB" w:rsidRDefault="00EC64DB" w:rsidP="00A403F6">
            <w:pPr>
              <w:rPr>
                <w:rFonts w:ascii="Times New Roman" w:hAnsi="Times New Roman" w:cs="Times New Roman"/>
                <w:b/>
                <w:bCs/>
                <w:sz w:val="24"/>
                <w:szCs w:val="24"/>
                <w:lang w:val="en-US"/>
              </w:rPr>
            </w:pPr>
            <w:r w:rsidRPr="00EC64DB">
              <w:rPr>
                <w:rFonts w:ascii="Times New Roman" w:hAnsi="Times New Roman" w:cs="Times New Roman"/>
                <w:b/>
                <w:bCs/>
                <w:sz w:val="24"/>
                <w:szCs w:val="24"/>
                <w:lang w:val="en-US"/>
              </w:rPr>
              <w:t>Antropologia și filosofia medicinei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AAAF529"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Op</w:t>
            </w:r>
            <w:r w:rsidRPr="003858CE">
              <w:rPr>
                <w:rFonts w:ascii="Times New Roman" w:hAnsi="Times New Roman" w:cs="Times New Roman"/>
                <w:sz w:val="24"/>
                <w:szCs w:val="24"/>
                <w:lang w:val="ro-RO"/>
              </w:rPr>
              <w:t>țional</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527138AB" w:rsidR="00826578" w:rsidRPr="003858CE" w:rsidRDefault="006D79EF" w:rsidP="00E56F7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225B4F95"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2408C506"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EC64DB">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1069C1C3" w:rsidR="00826578" w:rsidRPr="003858CE" w:rsidRDefault="00EC64DB"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w:t>
            </w:r>
            <w:r w:rsidR="006D79EF">
              <w:rPr>
                <w:rFonts w:ascii="Times New Roman" w:hAnsi="Times New Roman" w:cs="Times New Roman"/>
                <w:sz w:val="24"/>
                <w:szCs w:val="24"/>
                <w:lang w:val="fr-FR"/>
              </w:rPr>
              <w:t>5</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2DBF9ED2"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28AA710C" w:rsidR="00826578" w:rsidRPr="003858CE" w:rsidRDefault="006D79EF"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15</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14DF5C72" w:rsidR="00826578" w:rsidRPr="003858CE" w:rsidRDefault="006D79EF"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30</w:t>
            </w:r>
          </w:p>
        </w:tc>
      </w:tr>
      <w:tr w:rsidR="000B7EA4" w:rsidRPr="00EC64D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51276764"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0B7EA4" w:rsidRPr="006D79EF" w14:paraId="29E6C2E1" w14:textId="77777777" w:rsidTr="00826578">
        <w:tc>
          <w:tcPr>
            <w:tcW w:w="2484" w:type="dxa"/>
          </w:tcPr>
          <w:p w14:paraId="7663AC6D"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vAlign w:val="center"/>
          </w:tcPr>
          <w:p w14:paraId="68DAB88C" w14:textId="08FCF24D" w:rsidR="000B7EA4" w:rsidRPr="003858CE" w:rsidRDefault="00EC64DB" w:rsidP="00A403F6">
            <w:pPr>
              <w:rPr>
                <w:rFonts w:ascii="Times New Roman" w:hAnsi="Times New Roman" w:cs="Times New Roman"/>
                <w:sz w:val="24"/>
                <w:szCs w:val="24"/>
                <w:lang w:val="en-US"/>
              </w:rPr>
            </w:pPr>
            <w:r>
              <w:rPr>
                <w:rFonts w:ascii="Times New Roman" w:hAnsi="Times New Roman" w:cs="Times New Roman"/>
                <w:sz w:val="24"/>
                <w:szCs w:val="24"/>
                <w:lang w:val="en-US"/>
              </w:rPr>
              <w:t>Vitalie Ojovan, doctor habilitat în filosofie</w:t>
            </w:r>
          </w:p>
        </w:tc>
      </w:tr>
      <w:tr w:rsidR="00EC64DB" w:rsidRPr="006D79EF" w14:paraId="6A602F1D" w14:textId="77777777" w:rsidTr="00572111">
        <w:tc>
          <w:tcPr>
            <w:tcW w:w="2484" w:type="dxa"/>
          </w:tcPr>
          <w:p w14:paraId="14CEFA6C"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51F329B5" w:rsidR="00EC64DB" w:rsidRPr="00EC64DB" w:rsidRDefault="00EC64DB" w:rsidP="00EC64DB">
            <w:pPr>
              <w:jc w:val="both"/>
              <w:rPr>
                <w:rFonts w:ascii="Times New Roman" w:hAnsi="Times New Roman" w:cs="Times New Roman"/>
                <w:sz w:val="24"/>
                <w:szCs w:val="24"/>
                <w:lang w:val="en-US"/>
              </w:rPr>
            </w:pPr>
            <w:r w:rsidRPr="00EC64DB">
              <w:rPr>
                <w:rFonts w:ascii="Times New Roman" w:hAnsi="Times New Roman" w:cs="Times New Roman"/>
                <w:sz w:val="24"/>
                <w:szCs w:val="24"/>
                <w:lang w:val="ro-RO"/>
              </w:rPr>
              <w:t>Blocul didactic nr. 4, bd. Ştefan cel Mare şi Sfânt, 194B, etajul 3.</w:t>
            </w:r>
          </w:p>
        </w:tc>
      </w:tr>
      <w:tr w:rsidR="00EC64DB" w:rsidRPr="006D79EF" w14:paraId="4C791D28" w14:textId="77777777" w:rsidTr="00572111">
        <w:tc>
          <w:tcPr>
            <w:tcW w:w="2484" w:type="dxa"/>
            <w:vMerge w:val="restart"/>
          </w:tcPr>
          <w:p w14:paraId="19A4A707" w14:textId="73B1B6A2"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AAFCBD2"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Program: competențe confirmate în științe la nivelul liceal/colegiu (filosofie, istorie, educație civică, sociologie etc.), precum și cunoașterea limbii de predare.</w:t>
            </w:r>
          </w:p>
        </w:tc>
      </w:tr>
      <w:tr w:rsidR="00EC64DB" w:rsidRPr="006D79EF" w14:paraId="613F3E16" w14:textId="77777777" w:rsidTr="00572111">
        <w:tc>
          <w:tcPr>
            <w:tcW w:w="2484" w:type="dxa"/>
            <w:vMerge/>
          </w:tcPr>
          <w:p w14:paraId="5D605CCC" w14:textId="77777777" w:rsidR="00EC64DB" w:rsidRPr="003858CE" w:rsidRDefault="00EC64DB" w:rsidP="00EC64DB">
            <w:pPr>
              <w:rPr>
                <w:rFonts w:ascii="Times New Roman" w:hAnsi="Times New Roman" w:cs="Times New Roman"/>
                <w:sz w:val="24"/>
                <w:szCs w:val="24"/>
                <w:lang w:val="ro-RO"/>
              </w:rPr>
            </w:pPr>
          </w:p>
        </w:tc>
        <w:tc>
          <w:tcPr>
            <w:tcW w:w="6861" w:type="dxa"/>
            <w:gridSpan w:val="4"/>
          </w:tcPr>
          <w:p w14:paraId="087DE823" w14:textId="0475C00A"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EC64DB" w:rsidRPr="006D79EF" w14:paraId="44A846E4" w14:textId="77777777" w:rsidTr="00826578">
        <w:tc>
          <w:tcPr>
            <w:tcW w:w="2484" w:type="dxa"/>
            <w:shd w:val="clear" w:color="auto" w:fill="DEEAF6" w:themeFill="accent1" w:themeFillTint="33"/>
          </w:tcPr>
          <w:p w14:paraId="523DB4BF"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7AF257C" w:rsidR="00EC64DB" w:rsidRPr="00EC64DB" w:rsidRDefault="00EC64DB" w:rsidP="00EC64DB">
            <w:pPr>
              <w:jc w:val="both"/>
              <w:rPr>
                <w:rFonts w:ascii="Times New Roman" w:hAnsi="Times New Roman" w:cs="Times New Roman"/>
                <w:i/>
                <w:iCs/>
                <w:sz w:val="24"/>
                <w:szCs w:val="24"/>
                <w:lang w:val="ro-RO"/>
              </w:rPr>
            </w:pPr>
            <w:r w:rsidRPr="00EC64DB">
              <w:rPr>
                <w:rFonts w:ascii="Times New Roman" w:hAnsi="Times New Roman" w:cs="Times New Roman"/>
                <w:sz w:val="24"/>
                <w:szCs w:val="24"/>
                <w:lang w:val="ro-RO"/>
              </w:rPr>
              <w:t xml:space="preserve">Misiunea acestui program de studii este să dezvălui viitorilor medici universalismul gândirii  filosofice şi antropologice, le va permite să cunoască problemele umane fundamentale, cât şi soluţii consacrate la acestea oferite în termeni filosofico-antropologici argumentativi, să formeze soluţii proprii, să descopere valenţele umaniste ale medicinii şi confluenţa gândirii filosofico-antroplogice şi a activităţii medicale. Antropologia medicinei </w:t>
            </w:r>
            <w:r w:rsidRPr="00EC64DB">
              <w:rPr>
                <w:rFonts w:ascii="Times New Roman" w:hAnsi="Times New Roman" w:cs="Times New Roman"/>
                <w:i/>
                <w:sz w:val="24"/>
                <w:szCs w:val="24"/>
                <w:lang w:val="ro-RO"/>
              </w:rPr>
              <w:t>reprezintă un domeniu interdisciplinar de cunoștințe despre sistemele medicale care au existat și există în diverse societăți, despre formele  și tradițiile tratamentului maladiilor și modurilor de acordare de ajutor bolnavilor, despre contextul cultural al practicilor medicale, despre diversitatea aspectelor socioculturale de producere a cunoștințelor medicale etc.</w:t>
            </w:r>
            <w:r w:rsidRPr="00EC64DB">
              <w:rPr>
                <w:rFonts w:ascii="Times New Roman" w:hAnsi="Times New Roman" w:cs="Times New Roman"/>
                <w:sz w:val="24"/>
                <w:szCs w:val="24"/>
                <w:lang w:val="ro-RO"/>
              </w:rPr>
              <w:t xml:space="preserve"> Studierea acestei discipline va permite dezvoltarea cunoștințelor preliminare și crearea unor abilităţilor necesare pentru deliberarea și înfruntarea  problemelor de ordin culturologico-civilizațional, social, moral întâlnite în clinică și în afara ei. </w:t>
            </w:r>
          </w:p>
        </w:tc>
      </w:tr>
      <w:tr w:rsidR="00EC64DB" w:rsidRPr="003858CE" w14:paraId="0CCF62BB" w14:textId="77777777" w:rsidTr="00826578">
        <w:tc>
          <w:tcPr>
            <w:tcW w:w="2484" w:type="dxa"/>
          </w:tcPr>
          <w:p w14:paraId="51F38F10" w14:textId="5770ECE4"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553DE461"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pacing w:val="-4"/>
                <w:sz w:val="24"/>
                <w:szCs w:val="24"/>
                <w:lang w:val="ro-RO"/>
              </w:rPr>
              <w:t>Introducere  în filosofie. Abordarea filosofică a medicinei.</w:t>
            </w:r>
            <w:r w:rsidRPr="00EC64DB">
              <w:rPr>
                <w:rFonts w:ascii="Times New Roman" w:hAnsi="Times New Roman" w:cs="Times New Roman"/>
                <w:sz w:val="24"/>
                <w:szCs w:val="24"/>
                <w:lang w:val="ro-RO"/>
              </w:rPr>
              <w:t xml:space="preserve">  Ontologia: implicații biomedicale. Cunoașterea și specificul său în  medicină. Etică și medicină. Problema omului în filosofie. Introducere în antropologie. Domenii antropologice. Concepte de bază ale antropologiei medicale. Abordarea etnologico-etnografică  în antropologia medicală. Antropologia corpului. Sănătate, boală, normalitate, anormalitate.</w:t>
            </w:r>
          </w:p>
        </w:tc>
      </w:tr>
      <w:tr w:rsidR="00EC64DB" w:rsidRPr="006D79EF" w14:paraId="1E80B4E5" w14:textId="77777777" w:rsidTr="00826578">
        <w:tc>
          <w:tcPr>
            <w:tcW w:w="2484" w:type="dxa"/>
            <w:shd w:val="clear" w:color="auto" w:fill="DEEAF6" w:themeFill="accent1" w:themeFillTint="33"/>
          </w:tcPr>
          <w:p w14:paraId="4E54C041" w14:textId="223CC923"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26F5161"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distingă componentele și interconexiunile din cadrul filosofiei medicinei și antropologiei;</w:t>
            </w:r>
          </w:p>
          <w:p w14:paraId="4391BE8B"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identifice o manieră/metodologie conceptuală și informațională</w:t>
            </w:r>
            <w:r w:rsidRPr="00EC64DB">
              <w:rPr>
                <w:rFonts w:cs="Times New Roman"/>
                <w:spacing w:val="-4"/>
                <w:lang w:val="ro-RO"/>
              </w:rPr>
              <w:t>pentru a</w:t>
            </w:r>
            <w:r w:rsidRPr="00EC64DB">
              <w:rPr>
                <w:rFonts w:cs="Times New Roman"/>
                <w:lang w:val="ro-RO"/>
              </w:rPr>
              <w:t>studia și profesa cu succes medicina;</w:t>
            </w:r>
          </w:p>
          <w:p w14:paraId="4947BF33"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menținăo poziție clară profesională în anumite situații dificile; </w:t>
            </w:r>
          </w:p>
          <w:p w14:paraId="607EE629"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stabilească perspective în asimilarea facilă a cunoștințelor filosofice și antropologice de către viitorii specialiști în medicină;</w:t>
            </w:r>
          </w:p>
          <w:p w14:paraId="7F509C8A"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ia decizii constructive în eventuale situații dificile cu pacienții sau cu colegii; </w:t>
            </w:r>
          </w:p>
          <w:p w14:paraId="52925EAE"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perfecționeze tehnicile și strategiile, tipurile și modelele de comunicare în activitatea profesională și în viața cotidiană;</w:t>
            </w:r>
          </w:p>
          <w:p w14:paraId="54471F7D"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aprecieze valoarea și necesitatea cunoștințelor teoretico-medicale în realizarea actului medical;</w:t>
            </w:r>
          </w:p>
          <w:p w14:paraId="246053EF" w14:textId="478FD5ED"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lastRenderedPageBreak/>
              <w:t>să caracterizeze condițiile și modalitatea pentru a promova modul sănătos de viață.</w:t>
            </w:r>
          </w:p>
        </w:tc>
      </w:tr>
      <w:tr w:rsidR="00EC64DB" w:rsidRPr="006D79EF" w14:paraId="64D7D2CA" w14:textId="77777777" w:rsidTr="00826578">
        <w:tc>
          <w:tcPr>
            <w:tcW w:w="2484" w:type="dxa"/>
          </w:tcPr>
          <w:p w14:paraId="39FAD756" w14:textId="10FD032F"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14:paraId="740EC4EE"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discursuri coerente şi logic argumentate;</w:t>
            </w:r>
          </w:p>
          <w:p w14:paraId="75A5C48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evenimentelor şi fenomenelor sub aspectul relaţionării cauzale;</w:t>
            </w:r>
          </w:p>
          <w:p w14:paraId="7370BEB6"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 xml:space="preserve">valorarea de adevăr al argumentelor  (raţionamentelor şi discursului în ansamblu) prin aplicarea criteriilor epistemologice ale adevărului; </w:t>
            </w:r>
          </w:p>
          <w:p w14:paraId="4751465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dilemelor de ordin etnico-civilizațional, social, cultural, moral de situaţie prin reflecţie  asupra valorilor şi principiilor filosofico-antropologice general-umane.</w:t>
            </w:r>
          </w:p>
          <w:p w14:paraId="1403C1E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relevanţa filosofiei și antropolologiei în contextul medicinii;</w:t>
            </w:r>
          </w:p>
          <w:p w14:paraId="6F31CBDF"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semnificaţia realizărilor medicinii in dezvoltarea filosofiei și antropologiei;</w:t>
            </w:r>
          </w:p>
          <w:p w14:paraId="6723D60E" w14:textId="646722DF"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integritatea discursului filosofico-antropologicîn condiţia vastei diversităţi de subiecte, idei şi teorii studiate.</w:t>
            </w:r>
          </w:p>
        </w:tc>
      </w:tr>
      <w:tr w:rsidR="00EC64DB" w:rsidRPr="003858CE" w14:paraId="12B173E2" w14:textId="77777777" w:rsidTr="00826578">
        <w:tc>
          <w:tcPr>
            <w:tcW w:w="2484" w:type="dxa"/>
            <w:shd w:val="clear" w:color="auto" w:fill="DEEAF6" w:themeFill="accent1" w:themeFillTint="33"/>
          </w:tcPr>
          <w:p w14:paraId="46BE8B50"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63B19E66"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sectPr w:rsidR="0008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710AD"/>
    <w:rsid w:val="006B7BBE"/>
    <w:rsid w:val="006D79EF"/>
    <w:rsid w:val="007939FF"/>
    <w:rsid w:val="007C6698"/>
    <w:rsid w:val="007D18F2"/>
    <w:rsid w:val="00826578"/>
    <w:rsid w:val="00893506"/>
    <w:rsid w:val="00A403F6"/>
    <w:rsid w:val="00BE6FF3"/>
    <w:rsid w:val="00CB44CC"/>
    <w:rsid w:val="00D67F6D"/>
    <w:rsid w:val="00DE53B0"/>
    <w:rsid w:val="00EC64DB"/>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EC64D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590</Words>
  <Characters>3366</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17</cp:revision>
  <cp:lastPrinted>2021-04-05T12:21:00Z</cp:lastPrinted>
  <dcterms:created xsi:type="dcterms:W3CDTF">2021-03-31T04:51:00Z</dcterms:created>
  <dcterms:modified xsi:type="dcterms:W3CDTF">2021-09-22T20:04:00Z</dcterms:modified>
</cp:coreProperties>
</file>