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3858CE" w14:paraId="470445FE" w14:textId="77777777" w:rsidTr="00826578">
        <w:tc>
          <w:tcPr>
            <w:tcW w:w="2484" w:type="dxa"/>
            <w:shd w:val="clear" w:color="auto" w:fill="DEEAF6" w:themeFill="accent1" w:themeFillTint="33"/>
          </w:tcPr>
          <w:p w14:paraId="69411572" w14:textId="77777777" w:rsidR="000B7EA4" w:rsidRPr="003858CE" w:rsidRDefault="000B7EA4" w:rsidP="00826578">
            <w:pPr>
              <w:rPr>
                <w:rFonts w:ascii="Times New Roman" w:hAnsi="Times New Roman" w:cs="Times New Roman"/>
                <w:sz w:val="24"/>
                <w:szCs w:val="24"/>
              </w:rPr>
            </w:pPr>
            <w:bookmarkStart w:id="0" w:name="_Hlk80274520"/>
            <w:r w:rsidRPr="003858CE">
              <w:rPr>
                <w:rFonts w:ascii="Times New Roman" w:hAnsi="Times New Roman" w:cs="Times New Roman"/>
                <w:sz w:val="24"/>
                <w:szCs w:val="24"/>
              </w:rPr>
              <w:t>Denumireadisciplinei</w:t>
            </w:r>
          </w:p>
        </w:tc>
        <w:tc>
          <w:tcPr>
            <w:tcW w:w="6861" w:type="dxa"/>
            <w:gridSpan w:val="4"/>
            <w:vAlign w:val="center"/>
          </w:tcPr>
          <w:p w14:paraId="00E0B173" w14:textId="77777777" w:rsidR="000B7EA4" w:rsidRPr="0093661B" w:rsidRDefault="001F05C2" w:rsidP="00A403F6">
            <w:pPr>
              <w:rPr>
                <w:rFonts w:ascii="Times New Roman" w:hAnsi="Times New Roman" w:cs="Times New Roman"/>
                <w:b/>
                <w:bCs/>
                <w:sz w:val="24"/>
                <w:szCs w:val="24"/>
              </w:rPr>
            </w:pPr>
            <w:r w:rsidRPr="0093661B">
              <w:rPr>
                <w:rFonts w:ascii="Times New Roman" w:hAnsi="Times New Roman" w:cs="Times New Roman"/>
                <w:b/>
                <w:bCs/>
                <w:sz w:val="24"/>
                <w:szCs w:val="24"/>
              </w:rPr>
              <w:t>Bioetica</w:t>
            </w:r>
          </w:p>
        </w:tc>
      </w:tr>
      <w:tr w:rsidR="00826578" w:rsidRPr="003858CE" w14:paraId="6A4241FC" w14:textId="77777777" w:rsidTr="003858CE">
        <w:tc>
          <w:tcPr>
            <w:tcW w:w="2484" w:type="dxa"/>
          </w:tcPr>
          <w:p w14:paraId="09FE0A7A" w14:textId="77777777" w:rsidR="00826578" w:rsidRPr="003858CE" w:rsidRDefault="00826578" w:rsidP="00E56F79">
            <w:pPr>
              <w:rPr>
                <w:rFonts w:ascii="Times New Roman" w:hAnsi="Times New Roman" w:cs="Times New Roman"/>
                <w:sz w:val="24"/>
                <w:szCs w:val="24"/>
              </w:rPr>
            </w:pPr>
            <w:r w:rsidRPr="003858CE">
              <w:rPr>
                <w:rFonts w:ascii="Times New Roman" w:hAnsi="Times New Roman" w:cs="Times New Roman"/>
                <w:sz w:val="24"/>
                <w:szCs w:val="24"/>
              </w:rPr>
              <w:t>Tipul</w:t>
            </w:r>
          </w:p>
        </w:tc>
        <w:tc>
          <w:tcPr>
            <w:tcW w:w="2331" w:type="dxa"/>
            <w:gridSpan w:val="2"/>
          </w:tcPr>
          <w:p w14:paraId="71E4AA28" w14:textId="77777777" w:rsidR="00826578" w:rsidRPr="003858CE" w:rsidRDefault="00826578" w:rsidP="001F05C2">
            <w:pPr>
              <w:rPr>
                <w:rFonts w:ascii="Times New Roman" w:hAnsi="Times New Roman" w:cs="Times New Roman"/>
                <w:sz w:val="24"/>
                <w:szCs w:val="24"/>
              </w:rPr>
            </w:pPr>
            <w:r w:rsidRPr="003858CE">
              <w:rPr>
                <w:rFonts w:ascii="Times New Roman" w:hAnsi="Times New Roman" w:cs="Times New Roman"/>
                <w:sz w:val="24"/>
                <w:szCs w:val="24"/>
              </w:rPr>
              <w:t>Obligator</w:t>
            </w:r>
          </w:p>
        </w:tc>
        <w:tc>
          <w:tcPr>
            <w:tcW w:w="3260" w:type="dxa"/>
            <w:vAlign w:val="center"/>
          </w:tcPr>
          <w:p w14:paraId="6C60B771" w14:textId="77777777" w:rsidR="00826578" w:rsidRPr="003858CE" w:rsidRDefault="00826578" w:rsidP="003858CE">
            <w:pPr>
              <w:rPr>
                <w:rFonts w:ascii="Times New Roman" w:hAnsi="Times New Roman" w:cs="Times New Roman"/>
                <w:sz w:val="24"/>
                <w:szCs w:val="24"/>
              </w:rPr>
            </w:pPr>
            <w:r w:rsidRPr="003858CE">
              <w:rPr>
                <w:rFonts w:ascii="Times New Roman" w:hAnsi="Times New Roman" w:cs="Times New Roman"/>
                <w:sz w:val="24"/>
                <w:szCs w:val="24"/>
              </w:rPr>
              <w:t>Credite</w:t>
            </w:r>
          </w:p>
        </w:tc>
        <w:tc>
          <w:tcPr>
            <w:tcW w:w="1270" w:type="dxa"/>
            <w:vAlign w:val="center"/>
          </w:tcPr>
          <w:p w14:paraId="556A4E14" w14:textId="77777777" w:rsidR="00826578" w:rsidRPr="003858CE" w:rsidRDefault="001F05C2" w:rsidP="00E56F79">
            <w:pPr>
              <w:jc w:val="center"/>
              <w:rPr>
                <w:rFonts w:ascii="Times New Roman" w:hAnsi="Times New Roman" w:cs="Times New Roman"/>
                <w:sz w:val="24"/>
                <w:szCs w:val="24"/>
              </w:rPr>
            </w:pPr>
            <w:r>
              <w:rPr>
                <w:rFonts w:ascii="Times New Roman" w:hAnsi="Times New Roman" w:cs="Times New Roman"/>
                <w:sz w:val="24"/>
                <w:szCs w:val="24"/>
              </w:rPr>
              <w:t>3</w:t>
            </w:r>
          </w:p>
        </w:tc>
      </w:tr>
      <w:tr w:rsidR="00A403F6" w:rsidRPr="003858CE" w14:paraId="7B3D417F" w14:textId="77777777" w:rsidTr="00826578">
        <w:tc>
          <w:tcPr>
            <w:tcW w:w="2484" w:type="dxa"/>
          </w:tcPr>
          <w:p w14:paraId="0AEA4FE5" w14:textId="77777777" w:rsidR="00A403F6" w:rsidRPr="003858CE" w:rsidRDefault="00A403F6" w:rsidP="00826578">
            <w:pPr>
              <w:rPr>
                <w:rFonts w:ascii="Times New Roman" w:hAnsi="Times New Roman" w:cs="Times New Roman"/>
                <w:sz w:val="24"/>
                <w:szCs w:val="24"/>
              </w:rPr>
            </w:pPr>
            <w:r w:rsidRPr="003858CE">
              <w:rPr>
                <w:rFonts w:ascii="Times New Roman" w:hAnsi="Times New Roman" w:cs="Times New Roman"/>
                <w:sz w:val="24"/>
                <w:szCs w:val="24"/>
              </w:rPr>
              <w:t>Anul de studii</w:t>
            </w:r>
          </w:p>
        </w:tc>
        <w:tc>
          <w:tcPr>
            <w:tcW w:w="2331" w:type="dxa"/>
            <w:gridSpan w:val="2"/>
            <w:vAlign w:val="center"/>
          </w:tcPr>
          <w:p w14:paraId="5A07B485" w14:textId="77777777" w:rsidR="00A403F6" w:rsidRPr="003858CE" w:rsidRDefault="001F05C2" w:rsidP="00A403F6">
            <w:pPr>
              <w:jc w:val="center"/>
              <w:rPr>
                <w:rFonts w:ascii="Times New Roman" w:hAnsi="Times New Roman" w:cs="Times New Roman"/>
                <w:sz w:val="24"/>
                <w:szCs w:val="24"/>
              </w:rPr>
            </w:pPr>
            <w:r>
              <w:rPr>
                <w:rFonts w:ascii="Times New Roman" w:hAnsi="Times New Roman" w:cs="Times New Roman"/>
                <w:sz w:val="24"/>
                <w:szCs w:val="24"/>
              </w:rPr>
              <w:t>II</w:t>
            </w:r>
          </w:p>
        </w:tc>
        <w:tc>
          <w:tcPr>
            <w:tcW w:w="3260" w:type="dxa"/>
          </w:tcPr>
          <w:p w14:paraId="74A53239" w14:textId="77777777" w:rsidR="00A403F6" w:rsidRPr="003858CE" w:rsidRDefault="00A403F6" w:rsidP="000B7EA4">
            <w:pPr>
              <w:rPr>
                <w:rFonts w:ascii="Times New Roman" w:hAnsi="Times New Roman" w:cs="Times New Roman"/>
                <w:sz w:val="24"/>
                <w:szCs w:val="24"/>
              </w:rPr>
            </w:pPr>
            <w:r w:rsidRPr="003858CE">
              <w:rPr>
                <w:rFonts w:ascii="Times New Roman" w:hAnsi="Times New Roman" w:cs="Times New Roman"/>
                <w:sz w:val="24"/>
                <w:szCs w:val="24"/>
              </w:rPr>
              <w:t>Semestrul</w:t>
            </w:r>
          </w:p>
        </w:tc>
        <w:tc>
          <w:tcPr>
            <w:tcW w:w="1270" w:type="dxa"/>
            <w:vAlign w:val="center"/>
          </w:tcPr>
          <w:p w14:paraId="0084A1BB" w14:textId="0F845D60" w:rsidR="00A403F6" w:rsidRPr="003858CE" w:rsidRDefault="00AD7C23" w:rsidP="00A403F6">
            <w:pPr>
              <w:jc w:val="center"/>
              <w:rPr>
                <w:rFonts w:ascii="Times New Roman" w:hAnsi="Times New Roman" w:cs="Times New Roman"/>
                <w:sz w:val="24"/>
                <w:szCs w:val="24"/>
              </w:rPr>
            </w:pPr>
            <w:r>
              <w:rPr>
                <w:rFonts w:ascii="Times New Roman" w:hAnsi="Times New Roman" w:cs="Times New Roman"/>
                <w:sz w:val="24"/>
                <w:szCs w:val="24"/>
              </w:rPr>
              <w:t>I</w:t>
            </w:r>
            <w:r w:rsidR="003536B0">
              <w:rPr>
                <w:rFonts w:ascii="Times New Roman" w:hAnsi="Times New Roman" w:cs="Times New Roman"/>
                <w:sz w:val="24"/>
                <w:szCs w:val="24"/>
              </w:rPr>
              <w:t>II</w:t>
            </w:r>
          </w:p>
        </w:tc>
      </w:tr>
      <w:tr w:rsidR="00826578" w:rsidRPr="003858CE" w14:paraId="099C9E64" w14:textId="77777777" w:rsidTr="00826578">
        <w:tc>
          <w:tcPr>
            <w:tcW w:w="2484" w:type="dxa"/>
            <w:vMerge w:val="restart"/>
          </w:tcPr>
          <w:p w14:paraId="780698AD" w14:textId="77777777" w:rsidR="00826578" w:rsidRPr="003858CE" w:rsidRDefault="00826578" w:rsidP="00826578">
            <w:pPr>
              <w:rPr>
                <w:rFonts w:ascii="Times New Roman" w:hAnsi="Times New Roman" w:cs="Times New Roman"/>
                <w:sz w:val="24"/>
                <w:szCs w:val="24"/>
              </w:rPr>
            </w:pPr>
            <w:r w:rsidRPr="003858CE">
              <w:rPr>
                <w:rFonts w:ascii="Times New Roman" w:hAnsi="Times New Roman" w:cs="Times New Roman"/>
                <w:sz w:val="24"/>
                <w:szCs w:val="24"/>
              </w:rPr>
              <w:t>Numărul de ore</w:t>
            </w:r>
          </w:p>
        </w:tc>
        <w:tc>
          <w:tcPr>
            <w:tcW w:w="1480" w:type="dxa"/>
          </w:tcPr>
          <w:p w14:paraId="301C0DAC" w14:textId="77777777"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Curs</w:t>
            </w:r>
          </w:p>
        </w:tc>
        <w:tc>
          <w:tcPr>
            <w:tcW w:w="851" w:type="dxa"/>
            <w:vAlign w:val="center"/>
          </w:tcPr>
          <w:p w14:paraId="3F455DD2" w14:textId="42A05ED1" w:rsidR="00826578" w:rsidRPr="003858CE" w:rsidRDefault="001F05C2"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w:t>
            </w:r>
            <w:r w:rsidR="003536B0">
              <w:rPr>
                <w:rFonts w:ascii="Times New Roman" w:hAnsi="Times New Roman" w:cs="Times New Roman"/>
                <w:sz w:val="24"/>
                <w:szCs w:val="24"/>
                <w:lang w:val="fr-FR"/>
              </w:rPr>
              <w:t>7</w:t>
            </w:r>
          </w:p>
        </w:tc>
        <w:tc>
          <w:tcPr>
            <w:tcW w:w="3260" w:type="dxa"/>
          </w:tcPr>
          <w:p w14:paraId="632D0F10" w14:textId="77777777"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Lucrări practice/de laborator</w:t>
            </w:r>
          </w:p>
        </w:tc>
        <w:tc>
          <w:tcPr>
            <w:tcW w:w="1270" w:type="dxa"/>
            <w:vAlign w:val="center"/>
          </w:tcPr>
          <w:p w14:paraId="52A7C77B" w14:textId="4683E7F9" w:rsidR="00826578" w:rsidRPr="003858CE" w:rsidRDefault="003536B0"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17</w:t>
            </w:r>
          </w:p>
        </w:tc>
      </w:tr>
      <w:tr w:rsidR="00826578" w:rsidRPr="003858CE" w14:paraId="775926CD" w14:textId="77777777" w:rsidTr="00826578">
        <w:tc>
          <w:tcPr>
            <w:tcW w:w="2484" w:type="dxa"/>
            <w:vMerge/>
          </w:tcPr>
          <w:p w14:paraId="58751A99" w14:textId="77777777" w:rsidR="00826578" w:rsidRPr="003858CE" w:rsidRDefault="00826578" w:rsidP="00826578">
            <w:pPr>
              <w:rPr>
                <w:rFonts w:ascii="Times New Roman" w:hAnsi="Times New Roman" w:cs="Times New Roman"/>
                <w:sz w:val="24"/>
                <w:szCs w:val="24"/>
              </w:rPr>
            </w:pPr>
          </w:p>
        </w:tc>
        <w:tc>
          <w:tcPr>
            <w:tcW w:w="1480" w:type="dxa"/>
          </w:tcPr>
          <w:p w14:paraId="1F8A493C" w14:textId="77777777"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Seminare</w:t>
            </w:r>
          </w:p>
        </w:tc>
        <w:tc>
          <w:tcPr>
            <w:tcW w:w="851" w:type="dxa"/>
            <w:vAlign w:val="center"/>
          </w:tcPr>
          <w:p w14:paraId="17283A9F" w14:textId="262E5ECD" w:rsidR="00826578" w:rsidRPr="003858CE" w:rsidRDefault="003536B0"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17</w:t>
            </w:r>
          </w:p>
        </w:tc>
        <w:tc>
          <w:tcPr>
            <w:tcW w:w="3260" w:type="dxa"/>
          </w:tcPr>
          <w:p w14:paraId="7D5DA599" w14:textId="77777777"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Lucrul</w:t>
            </w:r>
            <w:r w:rsidR="001F05C2">
              <w:rPr>
                <w:rFonts w:ascii="Times New Roman" w:hAnsi="Times New Roman" w:cs="Times New Roman"/>
                <w:sz w:val="24"/>
                <w:szCs w:val="24"/>
                <w:lang w:val="fr-FR"/>
              </w:rPr>
              <w:t xml:space="preserve"> </w:t>
            </w:r>
            <w:r w:rsidRPr="003858CE">
              <w:rPr>
                <w:rFonts w:ascii="Times New Roman" w:hAnsi="Times New Roman" w:cs="Times New Roman"/>
                <w:sz w:val="24"/>
                <w:szCs w:val="24"/>
                <w:lang w:val="fr-FR"/>
              </w:rPr>
              <w:t>individual</w:t>
            </w:r>
          </w:p>
        </w:tc>
        <w:tc>
          <w:tcPr>
            <w:tcW w:w="1270" w:type="dxa"/>
            <w:vAlign w:val="center"/>
          </w:tcPr>
          <w:p w14:paraId="0CA6D57F" w14:textId="6B41C22D" w:rsidR="00826578" w:rsidRPr="003858CE" w:rsidRDefault="003536B0"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39</w:t>
            </w:r>
          </w:p>
        </w:tc>
      </w:tr>
      <w:tr w:rsidR="001F05C2" w:rsidRPr="003858CE" w14:paraId="7B3CCDFB" w14:textId="77777777" w:rsidTr="00BE12F9">
        <w:tc>
          <w:tcPr>
            <w:tcW w:w="2484" w:type="dxa"/>
          </w:tcPr>
          <w:p w14:paraId="3232731F" w14:textId="77777777" w:rsidR="001F05C2" w:rsidRPr="003858CE" w:rsidRDefault="001F05C2" w:rsidP="00826578">
            <w:pPr>
              <w:rPr>
                <w:rFonts w:ascii="Times New Roman" w:hAnsi="Times New Roman" w:cs="Times New Roman"/>
                <w:sz w:val="24"/>
                <w:szCs w:val="24"/>
              </w:rPr>
            </w:pPr>
            <w:r w:rsidRPr="003858CE">
              <w:rPr>
                <w:rFonts w:ascii="Times New Roman" w:hAnsi="Times New Roman" w:cs="Times New Roman"/>
                <w:sz w:val="24"/>
                <w:szCs w:val="24"/>
              </w:rPr>
              <w:t>Componenta</w:t>
            </w:r>
          </w:p>
        </w:tc>
        <w:tc>
          <w:tcPr>
            <w:tcW w:w="6861" w:type="dxa"/>
            <w:gridSpan w:val="4"/>
          </w:tcPr>
          <w:p w14:paraId="54772E6C" w14:textId="77777777" w:rsidR="001F05C2" w:rsidRPr="001F05C2" w:rsidRDefault="001F05C2" w:rsidP="007A15AC">
            <w:pPr>
              <w:tabs>
                <w:tab w:val="left" w:pos="293"/>
              </w:tabs>
              <w:jc w:val="both"/>
              <w:rPr>
                <w:rFonts w:ascii="Times New Roman" w:hAnsi="Times New Roman" w:cs="Times New Roman"/>
                <w:sz w:val="24"/>
                <w:szCs w:val="28"/>
              </w:rPr>
            </w:pPr>
            <w:r w:rsidRPr="001F05C2">
              <w:rPr>
                <w:rFonts w:ascii="Times New Roman" w:hAnsi="Times New Roman" w:cs="Times New Roman"/>
                <w:iCs/>
                <w:sz w:val="24"/>
                <w:szCs w:val="28"/>
                <w:lang w:val="ro-RO"/>
              </w:rPr>
              <w:t>Orientarea socio-umană</w:t>
            </w:r>
          </w:p>
        </w:tc>
      </w:tr>
      <w:tr w:rsidR="001F05C2" w:rsidRPr="003858CE" w14:paraId="24A20732" w14:textId="77777777" w:rsidTr="00BE12F9">
        <w:tc>
          <w:tcPr>
            <w:tcW w:w="2484" w:type="dxa"/>
          </w:tcPr>
          <w:p w14:paraId="66B713D6" w14:textId="77777777" w:rsidR="001F05C2" w:rsidRPr="003858CE" w:rsidRDefault="001F05C2" w:rsidP="00826578">
            <w:pPr>
              <w:rPr>
                <w:rFonts w:ascii="Times New Roman" w:hAnsi="Times New Roman" w:cs="Times New Roman"/>
                <w:sz w:val="24"/>
                <w:szCs w:val="24"/>
              </w:rPr>
            </w:pPr>
            <w:r w:rsidRPr="003858CE">
              <w:rPr>
                <w:rFonts w:ascii="Times New Roman" w:hAnsi="Times New Roman" w:cs="Times New Roman"/>
                <w:sz w:val="24"/>
                <w:szCs w:val="24"/>
                <w:lang w:val="ro-RO"/>
              </w:rPr>
              <w:t>Titularul de curs</w:t>
            </w:r>
          </w:p>
        </w:tc>
        <w:tc>
          <w:tcPr>
            <w:tcW w:w="6861" w:type="dxa"/>
            <w:gridSpan w:val="4"/>
          </w:tcPr>
          <w:p w14:paraId="1880EA1D" w14:textId="433E39AA" w:rsidR="001F05C2" w:rsidRPr="001F05C2" w:rsidRDefault="001F05C2" w:rsidP="007A15AC">
            <w:pPr>
              <w:tabs>
                <w:tab w:val="left" w:pos="293"/>
              </w:tabs>
              <w:jc w:val="both"/>
              <w:rPr>
                <w:rFonts w:ascii="Times New Roman" w:hAnsi="Times New Roman" w:cs="Times New Roman"/>
                <w:sz w:val="24"/>
                <w:szCs w:val="28"/>
              </w:rPr>
            </w:pPr>
            <w:r w:rsidRPr="001F05C2">
              <w:rPr>
                <w:rFonts w:ascii="Times New Roman" w:hAnsi="Times New Roman" w:cs="Times New Roman"/>
                <w:sz w:val="24"/>
                <w:szCs w:val="28"/>
              </w:rPr>
              <w:t>Ion Banari</w:t>
            </w:r>
            <w:r w:rsidR="0093661B">
              <w:rPr>
                <w:rFonts w:ascii="Times New Roman" w:hAnsi="Times New Roman" w:cs="Times New Roman"/>
                <w:sz w:val="24"/>
                <w:szCs w:val="28"/>
              </w:rPr>
              <w:t>,</w:t>
            </w:r>
            <w:r w:rsidR="0093661B">
              <w:t xml:space="preserve"> </w:t>
            </w:r>
            <w:r w:rsidR="0093661B" w:rsidRPr="0093661B">
              <w:rPr>
                <w:rFonts w:ascii="Times New Roman" w:hAnsi="Times New Roman" w:cs="Times New Roman"/>
                <w:sz w:val="24"/>
                <w:szCs w:val="28"/>
              </w:rPr>
              <w:t>doctor în filosofie</w:t>
            </w:r>
          </w:p>
        </w:tc>
      </w:tr>
      <w:tr w:rsidR="001F05C2" w:rsidRPr="003858CE" w14:paraId="2CA2575C" w14:textId="77777777" w:rsidTr="00BE12F9">
        <w:tc>
          <w:tcPr>
            <w:tcW w:w="2484" w:type="dxa"/>
          </w:tcPr>
          <w:p w14:paraId="76FAC687"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0D9F202F"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Blocul didactic nr. 4, bd. Ştefan cel Mare şi Sfânt, 194B, etajul 3.</w:t>
            </w:r>
          </w:p>
        </w:tc>
      </w:tr>
      <w:tr w:rsidR="001F05C2" w:rsidRPr="003858CE" w14:paraId="5CD028F6" w14:textId="77777777" w:rsidTr="00BE12F9">
        <w:tc>
          <w:tcPr>
            <w:tcW w:w="2484" w:type="dxa"/>
            <w:vMerge w:val="restart"/>
          </w:tcPr>
          <w:p w14:paraId="6AFE254F"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32EA2D14" w14:textId="77777777" w:rsidR="001F05C2" w:rsidRPr="001F05C2" w:rsidRDefault="001F05C2" w:rsidP="007A15AC">
            <w:pPr>
              <w:ind w:left="1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Program: cunoașterea  valorilor general umane și celor etice în particular, precum și cunoașterea limbii de predare.</w:t>
            </w:r>
          </w:p>
        </w:tc>
      </w:tr>
      <w:tr w:rsidR="001F05C2" w:rsidRPr="003858CE" w14:paraId="4B461564" w14:textId="77777777" w:rsidTr="00BE12F9">
        <w:tc>
          <w:tcPr>
            <w:tcW w:w="2484" w:type="dxa"/>
            <w:vMerge/>
          </w:tcPr>
          <w:p w14:paraId="38C05742" w14:textId="77777777" w:rsidR="001F05C2" w:rsidRPr="003858CE" w:rsidRDefault="001F05C2" w:rsidP="00826578">
            <w:pPr>
              <w:rPr>
                <w:rFonts w:ascii="Times New Roman" w:hAnsi="Times New Roman" w:cs="Times New Roman"/>
                <w:sz w:val="24"/>
                <w:szCs w:val="24"/>
                <w:lang w:val="ro-RO"/>
              </w:rPr>
            </w:pPr>
          </w:p>
        </w:tc>
        <w:tc>
          <w:tcPr>
            <w:tcW w:w="6861" w:type="dxa"/>
            <w:gridSpan w:val="4"/>
          </w:tcPr>
          <w:p w14:paraId="45E05C69"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1F05C2" w:rsidRPr="003858CE" w14:paraId="6C270E29" w14:textId="77777777" w:rsidTr="00826578">
        <w:tc>
          <w:tcPr>
            <w:tcW w:w="2484" w:type="dxa"/>
            <w:shd w:val="clear" w:color="auto" w:fill="DEEAF6" w:themeFill="accent1" w:themeFillTint="33"/>
          </w:tcPr>
          <w:p w14:paraId="5AAF70B9"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1784496B"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Cursul de bioetică are misiunea de a contribui la configurarea profilului umanist al medicului contemporan, prin oferirea de cunoștințe și formarea de competențe pe margine unui șir întreg de probleme cu valoare clinică sau/și socială., așa cum urmează:</w:t>
            </w:r>
          </w:p>
          <w:p w14:paraId="49014A0A"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1. Cunoașterea aspectelor clinice ale bioeticii reprezintă condiții indispensabile ale realizării alianței  și încrederii terapeutice, care rezultă în sporirea ratei de complianță la tratament, duce la rezultate terapeutice expectate și finalmente la satisfacție mutuală. Lipsa abilităților de reflecție pe marginea acestor subiecte constituie una dintre cauzele satisfacției scăzute față de serviciile medicale. </w:t>
            </w:r>
          </w:p>
          <w:p w14:paraId="51823600"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2. Studierea și discuțiile asupra cadrului legal în reproducere, asupra statutului moral al fătului/embrionului/copilului, asupra responsabilității parentale dar si a responsabilității  medicului ca profesionist  și cetățean va condiționa un spor de cunoaștere indispensabil pentru luarea unor decizii clinice rezonabile și argumentate din punct de vedere moral, în același timp necesare pentru creare de atitudini și viziuni cetățenești cu privire la politicile nataliste. </w:t>
            </w:r>
          </w:p>
          <w:p w14:paraId="0B5E8C13"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3. Euthanasia  și îngrijirea paliativă sunt două practici medicale alternative, aplicate pe final de viață, care ridică un șir de probleme etice, cunoașterea cărora poate favoriza dezvoltarea unor competențe și abilități necesare pentru găsirea soluțiilor oportune /justificabile din perspectivă morală. </w:t>
            </w:r>
          </w:p>
          <w:p w14:paraId="453061DC" w14:textId="77777777" w:rsidR="001F05C2" w:rsidRPr="001F05C2" w:rsidRDefault="001F05C2" w:rsidP="007A15AC">
            <w:pPr>
              <w:tabs>
                <w:tab w:val="left" w:pos="293"/>
              </w:tabs>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 xml:space="preserve">4. Cercetarea biomedicală are un impact major asupra calității vieții omului contemporan. În medicină cercetarea științifică se realizează de regulă prin implicarea ființelor umane, fapt care impune aplicarea unor standarde de ordin moral în desfășurarea acestui tip de activitate. În același timp obținerea unui beneficiu social neîntârziat presupune desfășurarea cercetării științifice în condiții de integritate morală. Cunoașterea acestor subiecte va contribuia la aprecierea valorii sociale a științei biomedicale prin prisma normativității morale.  </w:t>
            </w:r>
          </w:p>
        </w:tc>
      </w:tr>
      <w:tr w:rsidR="001F05C2" w:rsidRPr="003858CE" w14:paraId="2AD51B88" w14:textId="77777777" w:rsidTr="00826578">
        <w:tc>
          <w:tcPr>
            <w:tcW w:w="2484" w:type="dxa"/>
          </w:tcPr>
          <w:p w14:paraId="3157218C"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76AECC00" w14:textId="77777777" w:rsidR="001F05C2" w:rsidRPr="001F05C2" w:rsidRDefault="001F05C2" w:rsidP="007A15AC">
            <w:pPr>
              <w:widowControl w:val="0"/>
              <w:tabs>
                <w:tab w:val="left" w:pos="293"/>
              </w:tabs>
              <w:jc w:val="both"/>
              <w:rPr>
                <w:rFonts w:ascii="Times New Roman" w:hAnsi="Times New Roman" w:cs="Times New Roman"/>
                <w:spacing w:val="-4"/>
                <w:sz w:val="24"/>
                <w:szCs w:val="28"/>
                <w:lang w:val="ro-RO"/>
              </w:rPr>
            </w:pPr>
            <w:r w:rsidRPr="001F05C2">
              <w:rPr>
                <w:rFonts w:ascii="Times New Roman" w:hAnsi="Times New Roman" w:cs="Times New Roman"/>
                <w:spacing w:val="-4"/>
                <w:sz w:val="24"/>
                <w:szCs w:val="28"/>
                <w:lang w:val="ro-RO"/>
              </w:rPr>
              <w:t>Morala, etica și etica profesională: istorie și noțiuni generale.Bioetica drept domeniu interdisciplinar: originea, obiectul de studiu şi traseele de dezvoltare. Aspecte clinice ale bioeticii. Probleme bioetice în reproducerea umană. Bioetica în contextul cercetărilor genetice. Subiecte bioetice în situații extreme de sănătate și pe final de viață. Aspecte bioetice ale cercetării biomedicale.</w:t>
            </w:r>
          </w:p>
        </w:tc>
      </w:tr>
      <w:tr w:rsidR="001F05C2" w:rsidRPr="003858CE" w14:paraId="096D7E2A" w14:textId="77777777" w:rsidTr="00826578">
        <w:tc>
          <w:tcPr>
            <w:tcW w:w="2484" w:type="dxa"/>
            <w:shd w:val="clear" w:color="auto" w:fill="DEEAF6" w:themeFill="accent1" w:themeFillTint="33"/>
          </w:tcPr>
          <w:p w14:paraId="4C8DE9E0"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Finalități de studiu</w:t>
            </w:r>
          </w:p>
        </w:tc>
        <w:tc>
          <w:tcPr>
            <w:tcW w:w="6861" w:type="dxa"/>
            <w:gridSpan w:val="4"/>
          </w:tcPr>
          <w:p w14:paraId="7B521C6D"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înțeleagă valoarea  și locul cunoștințelor de bioetică în contextul educației și activității medicale. </w:t>
            </w:r>
          </w:p>
          <w:p w14:paraId="18196A93"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știe să analizeze holist diferite tipuri de situații clinice (cazuri) ținând cont de obligațiile morale derivate din principiile etice. </w:t>
            </w:r>
          </w:p>
          <w:p w14:paraId="221A4F50"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fie capabil să analizeze corelația dintre obligațiile morale (profesionale) competitive și să poată să determine obligația morală prioritară  în dependență de caz și context. </w:t>
            </w:r>
          </w:p>
          <w:p w14:paraId="66617598"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 xml:space="preserve">Să înțeleagă importanța argumentării în luarea deciziilor morale și a asumării responsabilității pentru consecințele deciziei luate. </w:t>
            </w:r>
          </w:p>
          <w:p w14:paraId="43E937A3"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Să cunoască  rolul  realizării obligațiilor morale  în asigurarea calității actului medical.</w:t>
            </w:r>
          </w:p>
          <w:p w14:paraId="650845E0" w14:textId="77777777" w:rsidR="001F05C2" w:rsidRPr="001F05C2" w:rsidRDefault="001F05C2" w:rsidP="001F05C2">
            <w:pPr>
              <w:pStyle w:val="a8"/>
              <w:numPr>
                <w:ilvl w:val="0"/>
                <w:numId w:val="7"/>
              </w:numPr>
              <w:tabs>
                <w:tab w:val="left" w:pos="293"/>
              </w:tabs>
              <w:ind w:left="10" w:firstLine="0"/>
              <w:jc w:val="both"/>
              <w:rPr>
                <w:rFonts w:cs="Times New Roman"/>
                <w:szCs w:val="28"/>
                <w:lang w:val="ro-RO"/>
              </w:rPr>
            </w:pPr>
            <w:r w:rsidRPr="001F05C2">
              <w:rPr>
                <w:rFonts w:cs="Times New Roman"/>
                <w:szCs w:val="28"/>
                <w:lang w:val="ro-RO"/>
              </w:rPr>
              <w:t>Să-şi autoevalueze cunoștințele și competențele de luare a deciziilor morale în situațiile de problemă examinate.</w:t>
            </w:r>
          </w:p>
        </w:tc>
      </w:tr>
      <w:tr w:rsidR="001F05C2" w:rsidRPr="003858CE" w14:paraId="34555C6D" w14:textId="77777777" w:rsidTr="00826578">
        <w:tc>
          <w:tcPr>
            <w:tcW w:w="2484" w:type="dxa"/>
          </w:tcPr>
          <w:p w14:paraId="488DD84A"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Manopere practice achiziționate</w:t>
            </w:r>
          </w:p>
        </w:tc>
        <w:tc>
          <w:tcPr>
            <w:tcW w:w="6861" w:type="dxa"/>
            <w:gridSpan w:val="4"/>
          </w:tcPr>
          <w:p w14:paraId="04AF7038"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Cunoașterea noțiunilor, conceptelor și problemelor de baza ale bioeticii.</w:t>
            </w:r>
          </w:p>
          <w:p w14:paraId="5970C5F2"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Înțelegerea importanței abordării multidisciplinare în bioetică.</w:t>
            </w:r>
          </w:p>
          <w:p w14:paraId="5666B831"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Familiarizarea cu cele mai actuale dileme de ordin etic întâlnite in activitatea medicala sau/și legate de avansarea cunoștințelor biomedicale.</w:t>
            </w:r>
          </w:p>
          <w:p w14:paraId="3DB5237E"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Înțelegerea modelelor de soluționate a conflictelor/dilemelor morale.</w:t>
            </w:r>
          </w:p>
          <w:p w14:paraId="691F5DA1"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Formarea de competente pentru aplicarea cunoștințelor acumulate în cadrul acestui modul în activitatea profesional/clinică.</w:t>
            </w:r>
          </w:p>
          <w:p w14:paraId="7357E6EA"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Dezvoltarea abilităților de deliberare pe margine problemelor morale.</w:t>
            </w:r>
          </w:p>
          <w:p w14:paraId="0E42A1C3"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Formarea deprinderilor de  luare a deciziilor morale în context clinic.</w:t>
            </w:r>
          </w:p>
          <w:p w14:paraId="2D4467F8" w14:textId="77777777" w:rsidR="001F05C2" w:rsidRPr="001F05C2" w:rsidRDefault="001F05C2" w:rsidP="001F05C2">
            <w:pPr>
              <w:pStyle w:val="a5"/>
              <w:widowControl w:val="0"/>
              <w:numPr>
                <w:ilvl w:val="0"/>
                <w:numId w:val="8"/>
              </w:numPr>
              <w:tabs>
                <w:tab w:val="left" w:pos="293"/>
              </w:tabs>
              <w:ind w:left="10" w:firstLine="0"/>
              <w:jc w:val="both"/>
              <w:rPr>
                <w:rFonts w:ascii="Times New Roman" w:hAnsi="Times New Roman" w:cs="Times New Roman"/>
                <w:sz w:val="24"/>
                <w:szCs w:val="28"/>
                <w:lang w:val="ro-RO"/>
              </w:rPr>
            </w:pPr>
            <w:r w:rsidRPr="001F05C2">
              <w:rPr>
                <w:rFonts w:ascii="Times New Roman" w:hAnsi="Times New Roman" w:cs="Times New Roman"/>
                <w:sz w:val="24"/>
                <w:szCs w:val="28"/>
                <w:lang w:val="ro-RO"/>
              </w:rPr>
              <w:t>Viziune holistă asupra actului medical - ca activitate complexa in care aspectele clinice interferează cu un șir de influențe/aspecte extra</w:t>
            </w:r>
            <w:r w:rsidR="00AD7C23">
              <w:rPr>
                <w:rFonts w:ascii="Times New Roman" w:hAnsi="Times New Roman" w:cs="Times New Roman"/>
                <w:sz w:val="24"/>
                <w:szCs w:val="28"/>
                <w:lang w:val="ro-RO"/>
              </w:rPr>
              <w:t xml:space="preserve"> </w:t>
            </w:r>
            <w:r w:rsidRPr="001F05C2">
              <w:rPr>
                <w:rFonts w:ascii="Times New Roman" w:hAnsi="Times New Roman" w:cs="Times New Roman"/>
                <w:sz w:val="24"/>
                <w:szCs w:val="28"/>
                <w:lang w:val="ro-RO"/>
              </w:rPr>
              <w:t xml:space="preserve">medicale.  </w:t>
            </w:r>
          </w:p>
        </w:tc>
      </w:tr>
      <w:tr w:rsidR="001F05C2" w:rsidRPr="003858CE" w14:paraId="0EDEBC30" w14:textId="77777777" w:rsidTr="00826578">
        <w:tc>
          <w:tcPr>
            <w:tcW w:w="2484" w:type="dxa"/>
            <w:shd w:val="clear" w:color="auto" w:fill="DEEAF6" w:themeFill="accent1" w:themeFillTint="33"/>
          </w:tcPr>
          <w:p w14:paraId="49C79870" w14:textId="77777777" w:rsidR="001F05C2" w:rsidRPr="003858CE" w:rsidRDefault="001F05C2" w:rsidP="00826578">
            <w:pPr>
              <w:rPr>
                <w:rFonts w:ascii="Times New Roman" w:hAnsi="Times New Roman" w:cs="Times New Roman"/>
                <w:sz w:val="24"/>
                <w:szCs w:val="24"/>
                <w:lang w:val="ro-RO"/>
              </w:rPr>
            </w:pPr>
            <w:r w:rsidRPr="003858CE">
              <w:rPr>
                <w:rFonts w:ascii="Times New Roman" w:hAnsi="Times New Roman" w:cs="Times New Roman"/>
                <w:sz w:val="24"/>
                <w:szCs w:val="24"/>
                <w:lang w:val="ro-RO"/>
              </w:rPr>
              <w:t>Forma de evaluare</w:t>
            </w:r>
          </w:p>
        </w:tc>
        <w:tc>
          <w:tcPr>
            <w:tcW w:w="6861" w:type="dxa"/>
            <w:gridSpan w:val="4"/>
          </w:tcPr>
          <w:p w14:paraId="092FEE89" w14:textId="3E2FCAA1" w:rsidR="001F05C2" w:rsidRPr="001F05C2" w:rsidRDefault="003536B0" w:rsidP="007A15AC">
            <w:pPr>
              <w:widowControl w:val="0"/>
              <w:tabs>
                <w:tab w:val="left" w:pos="293"/>
              </w:tabs>
              <w:jc w:val="both"/>
              <w:rPr>
                <w:rFonts w:ascii="Times New Roman" w:hAnsi="Times New Roman" w:cs="Times New Roman"/>
                <w:sz w:val="24"/>
                <w:szCs w:val="28"/>
                <w:lang w:val="ro-RO"/>
              </w:rPr>
            </w:pPr>
            <w:r>
              <w:rPr>
                <w:rFonts w:ascii="Times New Roman" w:hAnsi="Times New Roman" w:cs="Times New Roman"/>
                <w:sz w:val="24"/>
                <w:szCs w:val="28"/>
                <w:lang w:val="ro-RO"/>
              </w:rPr>
              <w:t>Colocviu diferențiat</w:t>
            </w:r>
          </w:p>
        </w:tc>
      </w:tr>
      <w:bookmarkEnd w:id="0"/>
    </w:tbl>
    <w:p w14:paraId="11E63CAE" w14:textId="77777777" w:rsidR="000B7EA4" w:rsidRDefault="000B7EA4" w:rsidP="000B7EA4">
      <w:pPr>
        <w:rPr>
          <w:rFonts w:ascii="Times New Roman" w:hAnsi="Times New Roman" w:cs="Times New Roman"/>
          <w:sz w:val="24"/>
          <w:szCs w:val="24"/>
          <w:lang w:val="fr-FR"/>
        </w:rPr>
      </w:pPr>
    </w:p>
    <w:p w14:paraId="48B29E60" w14:textId="77777777" w:rsidR="00086B9E" w:rsidRDefault="00086B9E" w:rsidP="000B7EA4">
      <w:pPr>
        <w:rPr>
          <w:rFonts w:ascii="Times New Roman" w:hAnsi="Times New Roman" w:cs="Times New Roman"/>
          <w:sz w:val="24"/>
          <w:szCs w:val="24"/>
          <w:lang w:val="fr-FR"/>
        </w:rPr>
      </w:pPr>
    </w:p>
    <w:p w14:paraId="0772A770" w14:textId="77777777" w:rsidR="00086B9E" w:rsidRDefault="00086B9E" w:rsidP="000B7EA4">
      <w:pPr>
        <w:rPr>
          <w:rFonts w:ascii="Times New Roman" w:hAnsi="Times New Roman" w:cs="Times New Roman"/>
          <w:sz w:val="24"/>
          <w:szCs w:val="24"/>
          <w:lang w:val="fr-FR"/>
        </w:rPr>
      </w:pPr>
    </w:p>
    <w:sectPr w:rsidR="00086B9E" w:rsidSect="00662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53B0"/>
    <w:rsid w:val="00045990"/>
    <w:rsid w:val="00086B9E"/>
    <w:rsid w:val="0009359B"/>
    <w:rsid w:val="000B7EA4"/>
    <w:rsid w:val="001B7667"/>
    <w:rsid w:val="001F05C2"/>
    <w:rsid w:val="00347E2D"/>
    <w:rsid w:val="003536B0"/>
    <w:rsid w:val="003858CE"/>
    <w:rsid w:val="004710AD"/>
    <w:rsid w:val="00662C6D"/>
    <w:rsid w:val="006B7BBE"/>
    <w:rsid w:val="007939FF"/>
    <w:rsid w:val="007C6698"/>
    <w:rsid w:val="007D18F2"/>
    <w:rsid w:val="00826578"/>
    <w:rsid w:val="00893506"/>
    <w:rsid w:val="0093661B"/>
    <w:rsid w:val="00A403F6"/>
    <w:rsid w:val="00AD7C23"/>
    <w:rsid w:val="00BE6FF3"/>
    <w:rsid w:val="00CB44CC"/>
    <w:rsid w:val="00D67F6D"/>
    <w:rsid w:val="00DE53B0"/>
    <w:rsid w:val="00EE45F0"/>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78AB"/>
  <w15:docId w15:val="{DC89D991-D9BC-4249-8831-8E68AF30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C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1F05C2"/>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721</Words>
  <Characters>4113</Characters>
  <Application>Microsoft Office Word</Application>
  <DocSecurity>0</DocSecurity>
  <Lines>34</Lines>
  <Paragraphs>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18</cp:revision>
  <cp:lastPrinted>2021-04-05T12:21:00Z</cp:lastPrinted>
  <dcterms:created xsi:type="dcterms:W3CDTF">2021-03-31T04:51:00Z</dcterms:created>
  <dcterms:modified xsi:type="dcterms:W3CDTF">2021-09-22T19:41:00Z</dcterms:modified>
</cp:coreProperties>
</file>